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68" w:rsidRDefault="007235B2" w:rsidP="007235B2">
      <w:pPr>
        <w:jc w:val="center"/>
        <w:rPr>
          <w:b/>
          <w:lang w:val="es-ES"/>
        </w:rPr>
      </w:pPr>
      <w:r w:rsidRPr="007235B2">
        <w:rPr>
          <w:b/>
          <w:lang w:val="es-ES"/>
        </w:rPr>
        <w:t>EXPERIENCIA DE EVALUACIÓN</w:t>
      </w:r>
    </w:p>
    <w:p w:rsidR="007235B2" w:rsidRDefault="007235B2" w:rsidP="007235B2">
      <w:pPr>
        <w:jc w:val="both"/>
        <w:rPr>
          <w:b/>
          <w:lang w:val="es-ES"/>
        </w:rPr>
      </w:pPr>
      <w:r>
        <w:rPr>
          <w:b/>
          <w:lang w:val="es-ES"/>
        </w:rPr>
        <w:t>Docente: Nancy Jannette Alvarado González</w:t>
      </w:r>
    </w:p>
    <w:p w:rsidR="007235B2" w:rsidRDefault="007235B2" w:rsidP="007235B2">
      <w:pPr>
        <w:jc w:val="both"/>
        <w:rPr>
          <w:b/>
          <w:lang w:val="es-ES"/>
        </w:rPr>
      </w:pPr>
      <w:r>
        <w:rPr>
          <w:b/>
          <w:lang w:val="es-ES"/>
        </w:rPr>
        <w:t>Jardín de Niños: Guillermo Prieto</w:t>
      </w:r>
    </w:p>
    <w:p w:rsidR="007235B2" w:rsidRDefault="007235B2" w:rsidP="007235B2">
      <w:pPr>
        <w:jc w:val="both"/>
        <w:rPr>
          <w:b/>
          <w:lang w:val="es-ES"/>
        </w:rPr>
      </w:pPr>
      <w:r>
        <w:rPr>
          <w:b/>
          <w:lang w:val="es-ES"/>
        </w:rPr>
        <w:t xml:space="preserve">Grado: 3º </w:t>
      </w:r>
    </w:p>
    <w:p w:rsidR="007235B2" w:rsidRDefault="007235B2" w:rsidP="007235B2">
      <w:pPr>
        <w:jc w:val="both"/>
        <w:rPr>
          <w:lang w:val="es-ES"/>
        </w:rPr>
      </w:pPr>
      <w:r>
        <w:rPr>
          <w:lang w:val="es-ES"/>
        </w:rPr>
        <w:t>La evaluación diagnóstica es un momento de relevancia al inicio del ciclo escolar debido a que la información obtenida nos muestra el panorama sobre la situación de partida de los alumnos al ingresar a un nuevo grado, evidenciando: lo que saben y pueden hacer, y en que necesitan ayuda.</w:t>
      </w:r>
      <w:r w:rsidR="008C3501">
        <w:rPr>
          <w:lang w:val="es-ES"/>
        </w:rPr>
        <w:t xml:space="preserve"> Permitiendo tomar decisiones sobre los aprendizajes fundamentales que deben abordarse durante el primer momento de evaluación y las áreas de oportunidad que deberán atenderse en el año.</w:t>
      </w:r>
    </w:p>
    <w:p w:rsidR="007235B2" w:rsidRDefault="007235B2" w:rsidP="007235B2">
      <w:pPr>
        <w:jc w:val="both"/>
        <w:rPr>
          <w:lang w:val="es-ES"/>
        </w:rPr>
      </w:pPr>
      <w:r>
        <w:rPr>
          <w:lang w:val="es-ES"/>
        </w:rPr>
        <w:t xml:space="preserve">Relacionado a dicha información también podemos rescatar otros factores que son de importancia para conocer al alumno, su contexto, proceso de desarrollo, etc. Partiendo de la necesidad de ampliar y/o complementar los datos obtenidos sobre la situación </w:t>
      </w:r>
      <w:r w:rsidR="008C3501">
        <w:rPr>
          <w:lang w:val="es-ES"/>
        </w:rPr>
        <w:t>de los alumnos respecto a los aprendizajes esperados y profundizar en el conocimiento de cada uno de ellos; me di a la tarea de diseñar un formato de diagnóstico individual, el cual está integrado de la siguiente manera:</w:t>
      </w:r>
    </w:p>
    <w:p w:rsidR="008C3501" w:rsidRDefault="008C3501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Datos: Ciclo escolar, nombre del jardín de niños, grado, grupo, nombre del alumno</w:t>
      </w:r>
    </w:p>
    <w:p w:rsidR="008C3501" w:rsidRDefault="008C3501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Valores de referencia: </w:t>
      </w:r>
      <w:r w:rsidRPr="008C3501">
        <w:rPr>
          <w:lang w:val="es-ES"/>
        </w:rPr>
        <w:t>S- Siempre/En su mayoría   R-Regularmente   N-Nunca</w:t>
      </w:r>
      <w:r>
        <w:rPr>
          <w:lang w:val="es-ES"/>
        </w:rPr>
        <w:t xml:space="preserve"> para valorar la frecuencia del indicador observado en el alumno</w:t>
      </w:r>
    </w:p>
    <w:p w:rsidR="008C3501" w:rsidRDefault="008C3501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Particularidades del aprendizaje: Consignas y conocimientos básicos a seguir en el aula (participación, atención, seguimiento de instrucciones,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>)</w:t>
      </w:r>
    </w:p>
    <w:p w:rsidR="008C3501" w:rsidRDefault="008C3501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Estilo de aprendizaje: Resultado obtenido al aplicar el test VAK (visual/auditivo/kinestésico)</w:t>
      </w:r>
    </w:p>
    <w:p w:rsidR="008C3501" w:rsidRDefault="008C3501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Ritmo de trabajo: Según su velocidad en concluir sus actividades al observarlo (rápido/moderado/lento)</w:t>
      </w:r>
    </w:p>
    <w:p w:rsidR="008C3501" w:rsidRDefault="008C3501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Dominio motriz: </w:t>
      </w:r>
      <w:r w:rsidR="00EB437D">
        <w:rPr>
          <w:lang w:val="es-ES"/>
        </w:rPr>
        <w:t>En cuanto a motricidad fina y gruesa (esperado/en desarrollo/requiere apoyo)</w:t>
      </w:r>
    </w:p>
    <w:p w:rsidR="00EB437D" w:rsidRDefault="00EB437D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Referentes conductuales: Indicadores que reflejan el cuidado de sí mismo, autorregulación y los lineamientos que sigue al convivir (cuidado de pertenencias, llora con facilidad, trabajo en equipo,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>)</w:t>
      </w:r>
    </w:p>
    <w:p w:rsidR="00EB437D" w:rsidRDefault="00EB437D" w:rsidP="008C350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Fortalezas y áreas de oportunidad identificadas mediante la aplicación de actividades exploratorias abordando los aprendizajes primordiales.</w:t>
      </w:r>
    </w:p>
    <w:p w:rsidR="00EB437D" w:rsidRDefault="00EB437D" w:rsidP="00EB437D">
      <w:pPr>
        <w:jc w:val="both"/>
        <w:rPr>
          <w:lang w:val="es-ES"/>
        </w:rPr>
      </w:pPr>
      <w:r>
        <w:rPr>
          <w:lang w:val="es-ES"/>
        </w:rPr>
        <w:t>El instrumento es una manera de sistematizar y ubicar la información de cada alumno para tenerlo al alcance con facilidad; ya que, conjunta de manera integral y general el punto de partida incluyendo factores: cognitivos, sociales, físicos y emocionales. Su uso me ha facilitado la manera de analizar las evidencias diagnósticas de los niños y poder realizar una dosificación de aprendizajes a trabajar durante el primer periodo de evaluación.</w:t>
      </w:r>
    </w:p>
    <w:p w:rsidR="00EB437D" w:rsidRDefault="00EB437D" w:rsidP="00EB437D">
      <w:pPr>
        <w:jc w:val="both"/>
        <w:rPr>
          <w:lang w:val="es-ES"/>
        </w:rPr>
      </w:pPr>
      <w:r>
        <w:rPr>
          <w:lang w:val="es-ES"/>
        </w:rPr>
        <w:t>Además, que es una manera sencilla de localizar fortalezas y áreas de oportunidad de todo el grupo. Este formato se va llenando desde el día uno de clases palomeando el valor de referencia que presenta cada niño de acuerdo a los indicadores establecidos. La parte de los campos y áreas se llena a partir de las manifestaciones de los alumnos registradas en hojas de trabajo durante las 3 primeras semanas del ciclo escolar, dichas evidencias se utilizan como fundamento de lo trabajado para poder conformar el diagnóstico individual.</w:t>
      </w:r>
    </w:p>
    <w:p w:rsidR="00710E6E" w:rsidRDefault="00710E6E" w:rsidP="00EB437D">
      <w:pPr>
        <w:jc w:val="both"/>
        <w:rPr>
          <w:lang w:val="es-ES"/>
        </w:rPr>
      </w:pPr>
    </w:p>
    <w:p w:rsidR="00EB437D" w:rsidRPr="00EB437D" w:rsidRDefault="00EB437D" w:rsidP="00EB437D">
      <w:pPr>
        <w:jc w:val="center"/>
        <w:rPr>
          <w:rFonts w:ascii="Century Gothic" w:eastAsia="Calibri" w:hAnsi="Century Gothic" w:cs="Times New Roman"/>
          <w:b/>
          <w:sz w:val="18"/>
          <w:szCs w:val="18"/>
        </w:rPr>
      </w:pPr>
      <w:r w:rsidRPr="00EB437D">
        <w:rPr>
          <w:rFonts w:ascii="Century Gothic" w:eastAsia="Calibri" w:hAnsi="Century Gothic" w:cs="Times New Roman"/>
          <w:b/>
          <w:sz w:val="18"/>
          <w:szCs w:val="18"/>
        </w:rPr>
        <w:t xml:space="preserve">DIAGNÓSTICO INICIAL INDIVIDUAL – </w:t>
      </w:r>
      <w:proofErr w:type="gramStart"/>
      <w:r w:rsidRPr="00EB437D">
        <w:rPr>
          <w:rFonts w:ascii="Century Gothic" w:eastAsia="Calibri" w:hAnsi="Century Gothic" w:cs="Times New Roman"/>
          <w:b/>
          <w:sz w:val="18"/>
          <w:szCs w:val="18"/>
        </w:rPr>
        <w:t>RESULTADOS  CICLO</w:t>
      </w:r>
      <w:proofErr w:type="gramEnd"/>
      <w:r w:rsidRPr="00EB437D">
        <w:rPr>
          <w:rFonts w:ascii="Century Gothic" w:eastAsia="Calibri" w:hAnsi="Century Gothic" w:cs="Times New Roman"/>
          <w:b/>
          <w:sz w:val="18"/>
          <w:szCs w:val="18"/>
        </w:rPr>
        <w:t xml:space="preserve"> ESCOLAR 2022 - 2023</w:t>
      </w:r>
    </w:p>
    <w:p w:rsidR="00EB437D" w:rsidRPr="00EB437D" w:rsidRDefault="00EB437D" w:rsidP="00EB437D">
      <w:pPr>
        <w:jc w:val="center"/>
        <w:rPr>
          <w:rFonts w:ascii="Century Gothic" w:eastAsia="Calibri" w:hAnsi="Century Gothic" w:cs="Times New Roman"/>
          <w:b/>
          <w:sz w:val="18"/>
          <w:szCs w:val="18"/>
        </w:rPr>
      </w:pPr>
      <w:r w:rsidRPr="00EB437D">
        <w:rPr>
          <w:rFonts w:ascii="Century Gothic" w:eastAsia="Calibri" w:hAnsi="Century Gothic" w:cs="Times New Roman"/>
          <w:b/>
          <w:sz w:val="18"/>
          <w:szCs w:val="18"/>
        </w:rPr>
        <w:t xml:space="preserve">JARDÍN DE NIÑOS “GUILLERMO </w:t>
      </w:r>
      <w:proofErr w:type="gramStart"/>
      <w:r w:rsidRPr="00EB437D">
        <w:rPr>
          <w:rFonts w:ascii="Century Gothic" w:eastAsia="Calibri" w:hAnsi="Century Gothic" w:cs="Times New Roman"/>
          <w:b/>
          <w:sz w:val="18"/>
          <w:szCs w:val="18"/>
        </w:rPr>
        <w:t xml:space="preserve">PRIETO”   </w:t>
      </w:r>
      <w:proofErr w:type="gramEnd"/>
      <w:r w:rsidRPr="00EB437D">
        <w:rPr>
          <w:rFonts w:ascii="Century Gothic" w:eastAsia="Calibri" w:hAnsi="Century Gothic" w:cs="Times New Roman"/>
          <w:b/>
          <w:sz w:val="18"/>
          <w:szCs w:val="18"/>
        </w:rPr>
        <w:t xml:space="preserve">  GRADO: TERCERO     GRUPO: A  </w:t>
      </w:r>
    </w:p>
    <w:p w:rsidR="00EB437D" w:rsidRPr="00EB437D" w:rsidRDefault="00EB437D" w:rsidP="00EB437D">
      <w:pPr>
        <w:rPr>
          <w:rFonts w:ascii="Century Gothic" w:eastAsia="Calibri" w:hAnsi="Century Gothic" w:cs="Times New Roman"/>
          <w:b/>
          <w:sz w:val="18"/>
          <w:szCs w:val="18"/>
        </w:rPr>
      </w:pPr>
      <w:r w:rsidRPr="00EB437D">
        <w:rPr>
          <w:rFonts w:ascii="Century Gothic" w:eastAsia="Calibri" w:hAnsi="Century Gothic" w:cs="Times New Roman"/>
          <w:b/>
          <w:sz w:val="18"/>
          <w:szCs w:val="18"/>
        </w:rPr>
        <w:t xml:space="preserve">NOMBRE DEL ALUMNO: </w:t>
      </w:r>
      <w:bookmarkStart w:id="0" w:name="_GoBack"/>
      <w:bookmarkEnd w:id="0"/>
    </w:p>
    <w:p w:rsidR="00EB437D" w:rsidRPr="00EB437D" w:rsidRDefault="00EB437D" w:rsidP="00EB437D">
      <w:pPr>
        <w:jc w:val="center"/>
        <w:rPr>
          <w:rFonts w:ascii="Century Gothic" w:eastAsia="Calibri" w:hAnsi="Century Gothic" w:cs="Times New Roman"/>
          <w:b/>
          <w:sz w:val="18"/>
          <w:szCs w:val="18"/>
        </w:rPr>
      </w:pPr>
      <w:r w:rsidRPr="00EB437D">
        <w:rPr>
          <w:rFonts w:ascii="Century Gothic" w:eastAsia="Calibri" w:hAnsi="Century Gothic" w:cs="Times New Roman"/>
          <w:b/>
          <w:sz w:val="18"/>
          <w:szCs w:val="18"/>
        </w:rPr>
        <w:t>Valores de referencia S- Siempre/En su mayoría   R-Regularmente   N-Nunca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28"/>
        <w:gridCol w:w="1157"/>
        <w:gridCol w:w="556"/>
        <w:gridCol w:w="123"/>
        <w:gridCol w:w="747"/>
        <w:gridCol w:w="862"/>
        <w:gridCol w:w="2248"/>
        <w:gridCol w:w="378"/>
        <w:gridCol w:w="381"/>
        <w:gridCol w:w="448"/>
      </w:tblGrid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PARTICULARIDADES DEL APRENDIZAJE</w:t>
            </w:r>
          </w:p>
        </w:tc>
        <w:tc>
          <w:tcPr>
            <w:tcW w:w="793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S</w:t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R</w:t>
            </w: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N</w:t>
            </w:r>
          </w:p>
        </w:tc>
        <w:tc>
          <w:tcPr>
            <w:tcW w:w="296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REFERENTES DE CONDUCTA</w:t>
            </w:r>
          </w:p>
        </w:tc>
        <w:tc>
          <w:tcPr>
            <w:tcW w:w="394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S</w:t>
            </w:r>
          </w:p>
        </w:tc>
        <w:tc>
          <w:tcPr>
            <w:tcW w:w="39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R</w:t>
            </w:r>
          </w:p>
        </w:tc>
        <w:tc>
          <w:tcPr>
            <w:tcW w:w="522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N</w:t>
            </w: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Participa en clase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Cuida su aseo personal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Expresa sus ideas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Cuida sus pertenencias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Cuenta con aprendizajes previos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Tiene limpieza en sus trabajos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Presta atención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Concluye sus trabajos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Conoce letras y números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Le gusta trabajar en equipo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Colorea dentro del parámetro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Muestra seguridad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Sigue instrucciones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Respeta a los demás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Conoce los colores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Llora con facilidad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</w:tr>
      <w:tr w:rsidR="00EB437D" w:rsidRPr="00EB437D" w:rsidTr="00E66B40">
        <w:tc>
          <w:tcPr>
            <w:tcW w:w="6506" w:type="dxa"/>
            <w:gridSpan w:val="6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ESTILO DE APRENDIZAJE</w:t>
            </w: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Perturba el orden en clase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</w:tr>
      <w:tr w:rsidR="00EB437D" w:rsidRPr="00EB437D" w:rsidTr="00E66B40">
        <w:tc>
          <w:tcPr>
            <w:tcW w:w="2168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Visual</w:t>
            </w:r>
          </w:p>
        </w:tc>
        <w:tc>
          <w:tcPr>
            <w:tcW w:w="2169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Auditivo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 xml:space="preserve">Kinestésico </w:t>
            </w: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Actúa de manera agresiva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</w:tr>
      <w:tr w:rsidR="00EB437D" w:rsidRPr="00EB437D" w:rsidTr="00E66B40">
        <w:tc>
          <w:tcPr>
            <w:tcW w:w="6506" w:type="dxa"/>
            <w:gridSpan w:val="6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RITMO DE TRABAJO</w:t>
            </w: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Se molesta con facilidad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</w:tr>
      <w:tr w:rsidR="00EB437D" w:rsidRPr="00EB437D" w:rsidTr="00E66B40">
        <w:tc>
          <w:tcPr>
            <w:tcW w:w="2168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Rápido</w:t>
            </w:r>
          </w:p>
        </w:tc>
        <w:tc>
          <w:tcPr>
            <w:tcW w:w="2169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Moderado </w:t>
            </w:r>
          </w:p>
        </w:tc>
        <w:tc>
          <w:tcPr>
            <w:tcW w:w="2169" w:type="dxa"/>
            <w:gridSpan w:val="3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Lento</w:t>
            </w: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Socializa 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DOMINIO MOTRIZ</w:t>
            </w:r>
          </w:p>
        </w:tc>
        <w:tc>
          <w:tcPr>
            <w:tcW w:w="793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E</w:t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ED</w:t>
            </w: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RA</w:t>
            </w: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Dice malas palabras 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Fina 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Obedece a la maestra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  <w:tr w:rsidR="00EB437D" w:rsidRPr="00EB437D" w:rsidTr="00E66B40">
        <w:tc>
          <w:tcPr>
            <w:tcW w:w="3697" w:type="dxa"/>
            <w:gridSpan w:val="2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Gruesa 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897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111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2969" w:type="dxa"/>
          </w:tcPr>
          <w:p w:rsidR="00EB437D" w:rsidRPr="00EB437D" w:rsidRDefault="00EB437D" w:rsidP="00EB437D">
            <w:pPr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Cuida los materiales</w:t>
            </w:r>
          </w:p>
        </w:tc>
        <w:tc>
          <w:tcPr>
            <w:tcW w:w="394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sym w:font="Wingdings" w:char="F0FC"/>
            </w:r>
          </w:p>
        </w:tc>
        <w:tc>
          <w:tcPr>
            <w:tcW w:w="399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  <w:tc>
          <w:tcPr>
            <w:tcW w:w="522" w:type="dxa"/>
            <w:shd w:val="clear" w:color="auto" w:fill="auto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429"/>
        <w:gridCol w:w="3210"/>
        <w:gridCol w:w="3189"/>
      </w:tblGrid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 xml:space="preserve">CAMPOS DE FORMACIÓN ACADÉMICA 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FORTALEZAS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ÁREAS DE OPORTUNIDAD</w:t>
            </w:r>
          </w:p>
        </w:tc>
      </w:tr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  <w:t>Lenguaje y Comunicación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Escribe sus dos nombres y dos apellidos sin ayuda. Comienza a leer palabras de dos sílabas que contengan letras que conoce. Reconoce claramente la función y nombre de: carta, anuncio y periódico 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Ampliar el conocimiento de diferentes portadores de texto. Producir textos cortos con las palabras que conoce.</w:t>
            </w:r>
          </w:p>
        </w:tc>
      </w:tr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  <w:t xml:space="preserve">Pensamiento Matemático 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Cuenta de manera ordenada hasta el 29. Reconoce y escribe los números del 1 al 20 fácilmente. Sabe el valor de las monedas de 1,2 y 5. Al relatar una rutina lo hace con ideas ordenadas utilizando la palabra luego para conectar las ideas.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Realizar equivalencias entre cantidades y valor de las monedas. Aumentar las expresiones temporales que usa al ordenar eventos. Consolidar el reconocimiento de los números del 1 al 20.</w:t>
            </w:r>
          </w:p>
        </w:tc>
      </w:tr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  <w:t>Exploración y Conocimiento del Mundo Natural y Social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Muestra facilidad para reconocer situaciones de riesgo en la escuela, la calle y en su casa. Menciona de manera amplia y reflexiva diversas propuestas de solución para cuidarse de tener un </w:t>
            </w: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lastRenderedPageBreak/>
              <w:t xml:space="preserve">accidente. Con ideas completas y ordenadas explica características de seres vivos y no vivos. 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lastRenderedPageBreak/>
              <w:t xml:space="preserve">Elaborar registros de observaciones que realiza. </w:t>
            </w:r>
          </w:p>
        </w:tc>
      </w:tr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lastRenderedPageBreak/>
              <w:t>ÁREAS DE DESARROLLO PERSONAL Y SOCIAL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FORTALEZAS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sz w:val="18"/>
                <w:szCs w:val="18"/>
                <w:lang w:val="es-MX"/>
              </w:rPr>
              <w:t>ÁREAS DE OPORTUNIDAD</w:t>
            </w:r>
          </w:p>
        </w:tc>
      </w:tr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  <w:t>Educación Socioemocional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Para lograr concluir una actividad retadora observa autónomamente como lo realizan los demás y lo intenta de nuevo. Expresa gustos personales con seguridad mencionando varios ejemplos.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Ser tolerante con los comentarios de sus compañeros. Practicar la paciencia cuando otros compañeros participan en juegos grupales.</w:t>
            </w:r>
          </w:p>
        </w:tc>
      </w:tr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  <w:t>Artes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tabs>
                <w:tab w:val="left" w:pos="1959"/>
              </w:tabs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Percibe distintos géneros musicales, los escucha con atención y dice con facilidad cual le gusto más y por qué. Baila con movimientos fluidos y seguridad. Disfruta de participar en situaciones que impliquen el canto y baile.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Seguir coreografías que se establecen con mayor coordinación. Marcar el ritmo utilizando instrumentos musicales.</w:t>
            </w:r>
          </w:p>
        </w:tc>
      </w:tr>
      <w:tr w:rsidR="00EB437D" w:rsidRPr="00EB437D" w:rsidTr="00E66B40">
        <w:tc>
          <w:tcPr>
            <w:tcW w:w="2830" w:type="dxa"/>
          </w:tcPr>
          <w:p w:rsidR="00EB437D" w:rsidRPr="00EB437D" w:rsidRDefault="00EB437D" w:rsidP="00EB437D">
            <w:pPr>
              <w:jc w:val="center"/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b/>
                <w:i/>
                <w:sz w:val="18"/>
                <w:szCs w:val="18"/>
                <w:lang w:val="es-MX"/>
              </w:rPr>
              <w:t>Educación Física</w:t>
            </w:r>
          </w:p>
        </w:tc>
        <w:tc>
          <w:tcPr>
            <w:tcW w:w="3969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Realiza lanzamientos tomando impulso hacia atrás y tira alto y con fuerza.</w:t>
            </w:r>
          </w:p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 xml:space="preserve">Muestra buen agarre de objetos a 1 y 2 manos en distancias cortas. Tiene una actitud muy entusiasta hacia las actividades físicas. </w:t>
            </w:r>
          </w:p>
        </w:tc>
        <w:tc>
          <w:tcPr>
            <w:tcW w:w="3991" w:type="dxa"/>
          </w:tcPr>
          <w:p w:rsidR="00EB437D" w:rsidRPr="00EB437D" w:rsidRDefault="00EB437D" w:rsidP="00EB437D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</w:pPr>
            <w:r w:rsidRPr="00EB437D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Identificar izquierda y derecha. Practicar cachar objetos a distancias medianamente largas.</w:t>
            </w:r>
          </w:p>
        </w:tc>
      </w:tr>
    </w:tbl>
    <w:p w:rsidR="00EB437D" w:rsidRPr="00710E6E" w:rsidRDefault="00EB437D" w:rsidP="00EB437D">
      <w:pPr>
        <w:jc w:val="both"/>
      </w:pPr>
    </w:p>
    <w:sectPr w:rsidR="00EB437D" w:rsidRPr="00710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574"/>
    <w:multiLevelType w:val="hybridMultilevel"/>
    <w:tmpl w:val="895AB9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B2"/>
    <w:rsid w:val="00243C0B"/>
    <w:rsid w:val="002E00DC"/>
    <w:rsid w:val="005135B9"/>
    <w:rsid w:val="00710E6E"/>
    <w:rsid w:val="007235B2"/>
    <w:rsid w:val="008C3501"/>
    <w:rsid w:val="00977F71"/>
    <w:rsid w:val="00A93791"/>
    <w:rsid w:val="00DC0862"/>
    <w:rsid w:val="00E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2E3D"/>
  <w15:chartTrackingRefBased/>
  <w15:docId w15:val="{4D6BE6C2-29FE-4D74-B753-99123D93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50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B43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B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JANNETTE</dc:creator>
  <cp:keywords/>
  <dc:description/>
  <cp:lastModifiedBy>NANCY JANNETTE</cp:lastModifiedBy>
  <cp:revision>3</cp:revision>
  <dcterms:created xsi:type="dcterms:W3CDTF">2023-07-04T20:17:00Z</dcterms:created>
  <dcterms:modified xsi:type="dcterms:W3CDTF">2023-07-05T23:04:00Z</dcterms:modified>
</cp:coreProperties>
</file>