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683"/>
        <w:tblW w:w="10900" w:type="dxa"/>
        <w:tblLook w:val="04A0" w:firstRow="1" w:lastRow="0" w:firstColumn="1" w:lastColumn="0" w:noHBand="0" w:noVBand="1"/>
      </w:tblPr>
      <w:tblGrid>
        <w:gridCol w:w="2207"/>
        <w:gridCol w:w="1616"/>
        <w:gridCol w:w="1559"/>
        <w:gridCol w:w="5518"/>
      </w:tblGrid>
      <w:tr w:rsidR="00141C9D" w:rsidRPr="004A3D97" w:rsidTr="00141C9D">
        <w:tc>
          <w:tcPr>
            <w:tcW w:w="2207" w:type="dxa"/>
            <w:tcBorders>
              <w:top w:val="single" w:sz="12" w:space="0" w:color="FFC000" w:themeColor="accent4"/>
              <w:left w:val="single" w:sz="12" w:space="0" w:color="FFC000" w:themeColor="accent4"/>
              <w:bottom w:val="single" w:sz="12" w:space="0" w:color="70AD47" w:themeColor="accent6"/>
              <w:right w:val="single" w:sz="12" w:space="0" w:color="FFC000" w:themeColor="accent4"/>
            </w:tcBorders>
            <w:shd w:val="clear" w:color="auto" w:fill="FFFF00"/>
          </w:tcPr>
          <w:p w:rsidR="00141C9D" w:rsidRPr="004A3D97" w:rsidRDefault="00141C9D" w:rsidP="00141C9D">
            <w:pPr>
              <w:jc w:val="center"/>
              <w:rPr>
                <w:rFonts w:ascii="Britannic Bold" w:hAnsi="Britannic Bold"/>
                <w:b/>
                <w:sz w:val="24"/>
              </w:rPr>
            </w:pPr>
            <w:r>
              <w:rPr>
                <w:rFonts w:ascii="Britannic Bold" w:hAnsi="Britannic Bold"/>
                <w:b/>
                <w:sz w:val="24"/>
              </w:rPr>
              <w:t>Campo de F</w:t>
            </w:r>
            <w:r w:rsidRPr="004A3D97">
              <w:rPr>
                <w:rFonts w:ascii="Britannic Bold" w:hAnsi="Britannic Bold"/>
                <w:b/>
                <w:sz w:val="24"/>
              </w:rPr>
              <w:t>ormación Académica</w:t>
            </w:r>
          </w:p>
        </w:tc>
        <w:tc>
          <w:tcPr>
            <w:tcW w:w="1616" w:type="dxa"/>
            <w:tcBorders>
              <w:top w:val="single" w:sz="12" w:space="0" w:color="FFC000" w:themeColor="accent4"/>
              <w:left w:val="single" w:sz="12" w:space="0" w:color="FFC000" w:themeColor="accent4"/>
              <w:bottom w:val="single" w:sz="12" w:space="0" w:color="70AD47" w:themeColor="accent6"/>
              <w:right w:val="single" w:sz="12" w:space="0" w:color="FFC000" w:themeColor="accent4"/>
            </w:tcBorders>
            <w:shd w:val="clear" w:color="auto" w:fill="FFFF00"/>
          </w:tcPr>
          <w:p w:rsidR="00141C9D" w:rsidRPr="004A3D97" w:rsidRDefault="00141C9D" w:rsidP="00141C9D">
            <w:pPr>
              <w:jc w:val="center"/>
              <w:rPr>
                <w:rFonts w:ascii="Britannic Bold" w:hAnsi="Britannic Bold"/>
                <w:b/>
                <w:sz w:val="24"/>
              </w:rPr>
            </w:pPr>
            <w:r w:rsidRPr="004A3D97">
              <w:rPr>
                <w:rFonts w:ascii="Britannic Bold" w:hAnsi="Britannic Bold"/>
                <w:b/>
                <w:sz w:val="24"/>
              </w:rPr>
              <w:t>Organizador curricular 1</w:t>
            </w:r>
          </w:p>
        </w:tc>
        <w:tc>
          <w:tcPr>
            <w:tcW w:w="1559" w:type="dxa"/>
            <w:tcBorders>
              <w:top w:val="single" w:sz="12" w:space="0" w:color="FFC000" w:themeColor="accent4"/>
              <w:left w:val="single" w:sz="12" w:space="0" w:color="FFC000" w:themeColor="accent4"/>
              <w:bottom w:val="single" w:sz="12" w:space="0" w:color="70AD47" w:themeColor="accent6"/>
              <w:right w:val="single" w:sz="12" w:space="0" w:color="FFC000" w:themeColor="accent4"/>
            </w:tcBorders>
            <w:shd w:val="clear" w:color="auto" w:fill="FFFF00"/>
          </w:tcPr>
          <w:p w:rsidR="00141C9D" w:rsidRPr="004A3D97" w:rsidRDefault="00141C9D" w:rsidP="00141C9D">
            <w:pPr>
              <w:jc w:val="center"/>
              <w:rPr>
                <w:rFonts w:ascii="Britannic Bold" w:hAnsi="Britannic Bold"/>
                <w:b/>
                <w:sz w:val="24"/>
              </w:rPr>
            </w:pPr>
            <w:r w:rsidRPr="004A3D97">
              <w:rPr>
                <w:rFonts w:ascii="Britannic Bold" w:hAnsi="Britannic Bold"/>
                <w:b/>
                <w:sz w:val="24"/>
              </w:rPr>
              <w:t>Organizador curricular 2</w:t>
            </w:r>
          </w:p>
        </w:tc>
        <w:tc>
          <w:tcPr>
            <w:tcW w:w="5518" w:type="dxa"/>
            <w:tcBorders>
              <w:top w:val="single" w:sz="12" w:space="0" w:color="FFC000" w:themeColor="accent4"/>
              <w:left w:val="single" w:sz="12" w:space="0" w:color="FFC000" w:themeColor="accent4"/>
              <w:bottom w:val="single" w:sz="12" w:space="0" w:color="70AD47" w:themeColor="accent6"/>
              <w:right w:val="single" w:sz="12" w:space="0" w:color="FFC000" w:themeColor="accent4"/>
            </w:tcBorders>
            <w:shd w:val="clear" w:color="auto" w:fill="FFFF00"/>
          </w:tcPr>
          <w:p w:rsidR="00141C9D" w:rsidRPr="004A3D97" w:rsidRDefault="00141C9D" w:rsidP="00141C9D">
            <w:pPr>
              <w:jc w:val="center"/>
              <w:rPr>
                <w:rFonts w:ascii="Britannic Bold" w:hAnsi="Britannic Bold"/>
                <w:b/>
                <w:sz w:val="24"/>
              </w:rPr>
            </w:pPr>
            <w:r w:rsidRPr="004A3D97">
              <w:rPr>
                <w:rFonts w:ascii="Britannic Bold" w:hAnsi="Britannic Bold"/>
                <w:b/>
                <w:sz w:val="24"/>
              </w:rPr>
              <w:t>Aprendizaje esperado</w:t>
            </w:r>
          </w:p>
        </w:tc>
      </w:tr>
      <w:tr w:rsidR="00141C9D" w:rsidTr="00141C9D">
        <w:tc>
          <w:tcPr>
            <w:tcW w:w="2207"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00B0F0"/>
          </w:tcPr>
          <w:p w:rsidR="00141C9D" w:rsidRPr="004A3D97" w:rsidRDefault="00141C9D" w:rsidP="00141C9D">
            <w:pPr>
              <w:jc w:val="both"/>
              <w:rPr>
                <w:rFonts w:ascii="Candara" w:hAnsi="Candara"/>
              </w:rPr>
            </w:pPr>
            <w:r w:rsidRPr="004A3D97">
              <w:rPr>
                <w:rFonts w:ascii="Candara" w:hAnsi="Candara"/>
              </w:rPr>
              <w:t xml:space="preserve">Pensamiento Matemático </w:t>
            </w:r>
          </w:p>
        </w:tc>
        <w:tc>
          <w:tcPr>
            <w:tcW w:w="1616"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00B0F0"/>
          </w:tcPr>
          <w:p w:rsidR="00141C9D" w:rsidRPr="004A3D97" w:rsidRDefault="00141C9D" w:rsidP="00141C9D">
            <w:pPr>
              <w:jc w:val="both"/>
              <w:rPr>
                <w:rFonts w:ascii="Candara" w:hAnsi="Candara"/>
              </w:rPr>
            </w:pPr>
            <w:r w:rsidRPr="004A3D97">
              <w:rPr>
                <w:rFonts w:ascii="Candara" w:hAnsi="Candara"/>
              </w:rPr>
              <w:t>Número, Algebra y Variaciones</w:t>
            </w:r>
          </w:p>
        </w:tc>
        <w:tc>
          <w:tcPr>
            <w:tcW w:w="1559"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00B0F0"/>
          </w:tcPr>
          <w:p w:rsidR="00141C9D" w:rsidRPr="004A3D97" w:rsidRDefault="00141C9D" w:rsidP="00141C9D">
            <w:pPr>
              <w:jc w:val="both"/>
              <w:rPr>
                <w:rFonts w:ascii="Candara" w:hAnsi="Candara"/>
              </w:rPr>
            </w:pPr>
            <w:r w:rsidRPr="004A3D97">
              <w:rPr>
                <w:rFonts w:ascii="Candara" w:hAnsi="Candara"/>
              </w:rPr>
              <w:t xml:space="preserve">Número </w:t>
            </w:r>
          </w:p>
        </w:tc>
        <w:tc>
          <w:tcPr>
            <w:tcW w:w="5518"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00B0F0"/>
          </w:tcPr>
          <w:p w:rsidR="00141C9D" w:rsidRPr="004A3D97" w:rsidRDefault="00141C9D" w:rsidP="00141C9D">
            <w:pPr>
              <w:jc w:val="both"/>
              <w:rPr>
                <w:rFonts w:ascii="Candara" w:hAnsi="Candara"/>
              </w:rPr>
            </w:pPr>
            <w:r w:rsidRPr="004A3D97">
              <w:rPr>
                <w:rFonts w:ascii="Candara" w:hAnsi="Candara"/>
              </w:rPr>
              <w:t>Comunica de manera oral y escrita los números del 1-10 en diversas situaciones y de diferentes maneras incluida la convencional.</w:t>
            </w:r>
          </w:p>
        </w:tc>
      </w:tr>
      <w:tr w:rsidR="00141C9D" w:rsidTr="00141C9D">
        <w:trPr>
          <w:trHeight w:val="2108"/>
        </w:trPr>
        <w:tc>
          <w:tcPr>
            <w:tcW w:w="10900" w:type="dxa"/>
            <w:gridSpan w:val="4"/>
            <w:tcBorders>
              <w:top w:val="single" w:sz="12" w:space="0" w:color="70AD47" w:themeColor="accent6"/>
            </w:tcBorders>
            <w:shd w:val="clear" w:color="auto" w:fill="66FF99"/>
          </w:tcPr>
          <w:p w:rsidR="00141C9D" w:rsidRPr="00DB4D08" w:rsidRDefault="00141C9D" w:rsidP="00141C9D">
            <w:pPr>
              <w:pStyle w:val="Prrafodelista"/>
              <w:ind w:left="750"/>
              <w:rPr>
                <w:rFonts w:ascii="Century Gothic" w:hAnsi="Century Gothic"/>
                <w:b/>
                <w:sz w:val="24"/>
                <w:szCs w:val="24"/>
              </w:rPr>
            </w:pPr>
            <w:r w:rsidRPr="00DB4D08">
              <w:rPr>
                <w:rFonts w:ascii="Century Gothic" w:hAnsi="Century Gothic"/>
                <w:b/>
                <w:sz w:val="24"/>
                <w:szCs w:val="24"/>
              </w:rPr>
              <w:t xml:space="preserve">Materiales: </w:t>
            </w:r>
          </w:p>
          <w:p w:rsidR="00141C9D" w:rsidRPr="00DB4D08" w:rsidRDefault="00141C9D" w:rsidP="00141C9D">
            <w:pPr>
              <w:pStyle w:val="Prrafodelista"/>
              <w:numPr>
                <w:ilvl w:val="0"/>
                <w:numId w:val="1"/>
              </w:numPr>
              <w:rPr>
                <w:rFonts w:ascii="Century Gothic" w:hAnsi="Century Gothic"/>
                <w:sz w:val="24"/>
                <w:szCs w:val="24"/>
              </w:rPr>
            </w:pPr>
            <w:r w:rsidRPr="00DB4D08">
              <w:rPr>
                <w:rFonts w:ascii="Century Gothic" w:hAnsi="Century Gothic"/>
                <w:sz w:val="24"/>
                <w:szCs w:val="24"/>
              </w:rPr>
              <w:t>Utilizando el tablero de la pag.21 ¿Quién avanza más?  De su libro Mi Álbum</w:t>
            </w:r>
          </w:p>
          <w:p w:rsidR="00141C9D" w:rsidRDefault="00141C9D" w:rsidP="00141C9D">
            <w:pPr>
              <w:pStyle w:val="Prrafodelista"/>
              <w:numPr>
                <w:ilvl w:val="0"/>
                <w:numId w:val="1"/>
              </w:numPr>
              <w:rPr>
                <w:rFonts w:ascii="Century Gothic" w:hAnsi="Century Gothic"/>
                <w:sz w:val="24"/>
                <w:szCs w:val="24"/>
              </w:rPr>
            </w:pPr>
            <w:r>
              <w:rPr>
                <w:rFonts w:ascii="Century Gothic" w:hAnsi="Century Gothic"/>
                <w:sz w:val="24"/>
                <w:szCs w:val="24"/>
              </w:rPr>
              <w:t xml:space="preserve"> S</w:t>
            </w:r>
            <w:r w:rsidRPr="00DB4D08">
              <w:rPr>
                <w:rFonts w:ascii="Century Gothic" w:hAnsi="Century Gothic"/>
                <w:sz w:val="24"/>
                <w:szCs w:val="24"/>
              </w:rPr>
              <w:t>eis bolsas con colecciones de 1-6 elementos (pueden usar fichas, piedras, cuentas, etc</w:t>
            </w:r>
            <w:r>
              <w:rPr>
                <w:rFonts w:ascii="Century Gothic" w:hAnsi="Century Gothic"/>
                <w:sz w:val="24"/>
                <w:szCs w:val="24"/>
              </w:rPr>
              <w:t>.)</w:t>
            </w:r>
          </w:p>
          <w:p w:rsidR="00141C9D" w:rsidRDefault="00141C9D" w:rsidP="00141C9D">
            <w:pPr>
              <w:pStyle w:val="Prrafodelista"/>
              <w:numPr>
                <w:ilvl w:val="0"/>
                <w:numId w:val="1"/>
              </w:numPr>
              <w:rPr>
                <w:rFonts w:ascii="Century Gothic" w:hAnsi="Century Gothic"/>
                <w:sz w:val="24"/>
                <w:szCs w:val="24"/>
              </w:rPr>
            </w:pPr>
            <w:r>
              <w:rPr>
                <w:rFonts w:ascii="Century Gothic" w:hAnsi="Century Gothic"/>
                <w:sz w:val="24"/>
                <w:szCs w:val="24"/>
              </w:rPr>
              <w:t>Diez bolsas con colecciones de 1 a 10 elementos.</w:t>
            </w:r>
          </w:p>
          <w:p w:rsidR="00141C9D" w:rsidRPr="00DB4D08" w:rsidRDefault="00141C9D" w:rsidP="00141C9D">
            <w:pPr>
              <w:rPr>
                <w:rFonts w:ascii="Century Gothic" w:hAnsi="Century Gothic"/>
                <w:sz w:val="24"/>
                <w:szCs w:val="24"/>
                <w:u w:val="single"/>
              </w:rPr>
            </w:pPr>
            <w:r w:rsidRPr="00DB4D08">
              <w:rPr>
                <w:rFonts w:ascii="Century Gothic" w:hAnsi="Century Gothic"/>
                <w:sz w:val="24"/>
                <w:szCs w:val="24"/>
                <w:u w:val="single"/>
              </w:rPr>
              <w:t xml:space="preserve">Ejemplo: </w:t>
            </w:r>
          </w:p>
          <w:p w:rsidR="00141C9D" w:rsidRDefault="00141C9D" w:rsidP="00141C9D">
            <w:pPr>
              <w:rPr>
                <w:rFonts w:ascii="Century Gothic" w:hAnsi="Century Gothic"/>
                <w:sz w:val="24"/>
                <w:szCs w:val="24"/>
              </w:rPr>
            </w:pPr>
            <w:r>
              <w:rPr>
                <w:rFonts w:ascii="Century Gothic" w:hAnsi="Century Gothic"/>
                <w:sz w:val="24"/>
                <w:szCs w:val="24"/>
              </w:rPr>
              <w:t>Bolsa1= 1 Frijol     Bolsa 2=  2 Frijoles    Bolsa 3=  3 Frijoles    Bolsa 4=  4Frijoles</w:t>
            </w:r>
          </w:p>
          <w:p w:rsidR="00141C9D" w:rsidRDefault="00141C9D" w:rsidP="00141C9D">
            <w:pPr>
              <w:jc w:val="both"/>
            </w:pPr>
            <w:r>
              <w:rPr>
                <w:rFonts w:ascii="Century Gothic" w:hAnsi="Century Gothic"/>
                <w:sz w:val="24"/>
                <w:szCs w:val="24"/>
              </w:rPr>
              <w:t>Bolsa 5= 5 Frijoles   Bolsa 6= 6 Frijoles</w:t>
            </w:r>
          </w:p>
        </w:tc>
      </w:tr>
      <w:tr w:rsidR="00141C9D" w:rsidTr="00141C9D">
        <w:trPr>
          <w:trHeight w:val="836"/>
        </w:trPr>
        <w:tc>
          <w:tcPr>
            <w:tcW w:w="10900" w:type="dxa"/>
            <w:gridSpan w:val="4"/>
            <w:shd w:val="clear" w:color="auto" w:fill="FF6699"/>
          </w:tcPr>
          <w:p w:rsidR="00141C9D" w:rsidRDefault="00141C9D" w:rsidP="00141C9D">
            <w:pPr>
              <w:jc w:val="both"/>
              <w:rPr>
                <w:rFonts w:ascii="Century Gothic" w:hAnsi="Century Gothic"/>
                <w:sz w:val="24"/>
                <w:szCs w:val="24"/>
              </w:rPr>
            </w:pPr>
            <w:r>
              <w:rPr>
                <w:rFonts w:ascii="Century Gothic" w:hAnsi="Century Gothic"/>
                <w:sz w:val="24"/>
                <w:szCs w:val="24"/>
              </w:rPr>
              <w:t xml:space="preserve">Colocar todas las bolsas en una caja o recipiente de cocina de manera que los alumnos no puedan ver la cantidad de frijoles que contiene cada bolsa. </w:t>
            </w:r>
          </w:p>
          <w:p w:rsidR="00141C9D" w:rsidRDefault="00141C9D" w:rsidP="00141C9D">
            <w:pPr>
              <w:jc w:val="both"/>
              <w:rPr>
                <w:rFonts w:ascii="Century Gothic" w:hAnsi="Century Gothic"/>
                <w:sz w:val="24"/>
                <w:szCs w:val="24"/>
              </w:rPr>
            </w:pPr>
            <w:r>
              <w:rPr>
                <w:rFonts w:ascii="Century Gothic" w:hAnsi="Century Gothic"/>
                <w:sz w:val="24"/>
                <w:szCs w:val="24"/>
              </w:rPr>
              <w:t>El juego se va a realizar con dos participantes. Cada jugador tendrá solo dos turnos: en el primero se utilizan las bolsas del 1-6, en el segundo, las bolsas del 1-10.</w:t>
            </w:r>
          </w:p>
          <w:p w:rsidR="00141C9D" w:rsidRDefault="00141C9D" w:rsidP="00141C9D">
            <w:pPr>
              <w:jc w:val="both"/>
              <w:rPr>
                <w:rFonts w:ascii="Century Gothic" w:hAnsi="Century Gothic"/>
                <w:sz w:val="24"/>
                <w:szCs w:val="24"/>
              </w:rPr>
            </w:pPr>
            <w:r>
              <w:rPr>
                <w:rFonts w:ascii="Century Gothic" w:hAnsi="Century Gothic"/>
                <w:sz w:val="24"/>
                <w:szCs w:val="24"/>
              </w:rPr>
              <w:t xml:space="preserve">El primer participante elige sin ver una bolsa, cuenta los frijolitos en voz alta que contiene, luego escribe utilizando un marcador el número de frijolitos que tiene su bolsa. El número de frijoles que tiene su vaso será la cantidad de casillas que avanza en el tablero, utilizar un juguete pequeño o una tapa para señalar la casilla a la que llego.  El adulto preguntará ¿A qué número de casilla llegaste? O ¿A qué número de casilla llegue yo? Según sea el caso, es el turno del siguiente participante quien realizará la misma dinámica con la misma colección de bolsas del 1-6. Preguntar ¿Quién va ganando, tu o yo? ¿Por qué? </w:t>
            </w:r>
          </w:p>
          <w:p w:rsidR="00141C9D" w:rsidRPr="004D5692" w:rsidRDefault="00141C9D" w:rsidP="00141C9D">
            <w:pPr>
              <w:jc w:val="both"/>
              <w:rPr>
                <w:rFonts w:ascii="Century Gothic" w:hAnsi="Century Gothic"/>
                <w:sz w:val="24"/>
                <w:szCs w:val="24"/>
              </w:rPr>
            </w:pPr>
            <w:r>
              <w:rPr>
                <w:rFonts w:ascii="Century Gothic" w:hAnsi="Century Gothic"/>
                <w:sz w:val="24"/>
                <w:szCs w:val="24"/>
              </w:rPr>
              <w:t>Continuar con la dinámica  pero ahora con las colecciones del 1-10, gana quien llegue primero al número 15.</w:t>
            </w:r>
          </w:p>
        </w:tc>
      </w:tr>
    </w:tbl>
    <w:p w:rsidR="00CD1007" w:rsidRDefault="00141C9D">
      <w:r>
        <w:rPr>
          <w:noProof/>
          <w:lang w:eastAsia="es-MX"/>
        </w:rPr>
        <w:drawing>
          <wp:anchor distT="0" distB="0" distL="114300" distR="114300" simplePos="0" relativeHeight="251658240" behindDoc="0" locked="0" layoutInCell="1" allowOverlap="1" wp14:anchorId="107DF078" wp14:editId="4A7EE583">
            <wp:simplePos x="0" y="0"/>
            <wp:positionH relativeFrom="column">
              <wp:posOffset>2217420</wp:posOffset>
            </wp:positionH>
            <wp:positionV relativeFrom="paragraph">
              <wp:posOffset>6539865</wp:posOffset>
            </wp:positionV>
            <wp:extent cx="1728470" cy="2939415"/>
            <wp:effectExtent l="4127" t="0" r="9208" b="9207"/>
            <wp:wrapTopAndBottom/>
            <wp:docPr id="2" name="Imagen 2" descr="C:\Users\pau\AppData\Local\Microsoft\Windows\Temporary Internet Files\Content.Word\Screenshot_20210416-1246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AppData\Local\Microsoft\Windows\Temporary Internet Files\Content.Word\Screenshot_20210416-12461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1728470" cy="29394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t xml:space="preserve"> </w:t>
      </w:r>
      <w:bookmarkStart w:id="0" w:name="_GoBack"/>
      <w:bookmarkEnd w:id="0"/>
    </w:p>
    <w:sectPr w:rsidR="00CD1007" w:rsidSect="004A3D9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A468A"/>
    <w:multiLevelType w:val="hybridMultilevel"/>
    <w:tmpl w:val="0AEE8C90"/>
    <w:lvl w:ilvl="0" w:tplc="CE0AD6D4">
      <w:start w:val="1"/>
      <w:numFmt w:val="decimal"/>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D08"/>
    <w:rsid w:val="00141C9D"/>
    <w:rsid w:val="004A3D97"/>
    <w:rsid w:val="00A40940"/>
    <w:rsid w:val="00A94871"/>
    <w:rsid w:val="00C559E2"/>
    <w:rsid w:val="00DB4D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5F19C-C4CA-4A81-BBE9-06B4A48B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D0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B4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B4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265</Words>
  <Characters>1458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dc:creator>
  <cp:keywords/>
  <dc:description/>
  <cp:lastModifiedBy>HP</cp:lastModifiedBy>
  <cp:revision>4</cp:revision>
  <dcterms:created xsi:type="dcterms:W3CDTF">2021-04-16T17:25:00Z</dcterms:created>
  <dcterms:modified xsi:type="dcterms:W3CDTF">2021-05-24T23:21:00Z</dcterms:modified>
</cp:coreProperties>
</file>