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clara-nfasis6"/>
        <w:tblW w:w="0" w:type="auto"/>
        <w:tblLook w:val="04A0" w:firstRow="1" w:lastRow="0" w:firstColumn="1" w:lastColumn="0" w:noHBand="0" w:noVBand="1"/>
      </w:tblPr>
      <w:tblGrid>
        <w:gridCol w:w="2972"/>
        <w:gridCol w:w="2868"/>
        <w:gridCol w:w="2988"/>
      </w:tblGrid>
      <w:tr w:rsidR="00D25DD3" w:rsidRPr="00270035" w14:paraId="6F183A95" w14:textId="77777777" w:rsidTr="0009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D9F340" w14:textId="77777777" w:rsidR="00D25DD3" w:rsidRPr="00270035" w:rsidRDefault="00D25DD3" w:rsidP="000954DA">
            <w:pPr>
              <w:rPr>
                <w:rFonts w:ascii="Century Gothic" w:hAnsi="Century Gothic"/>
                <w:b w:val="0"/>
                <w:bCs w:val="0"/>
                <w:sz w:val="24"/>
                <w:szCs w:val="24"/>
              </w:rPr>
            </w:pPr>
            <w:r w:rsidRPr="00270035">
              <w:rPr>
                <w:rFonts w:ascii="Century Gothic" w:hAnsi="Century Gothic"/>
                <w:sz w:val="24"/>
                <w:szCs w:val="24"/>
              </w:rPr>
              <w:t>Nombre de la estrategia</w:t>
            </w:r>
          </w:p>
        </w:tc>
        <w:tc>
          <w:tcPr>
            <w:tcW w:w="2868" w:type="dxa"/>
          </w:tcPr>
          <w:p w14:paraId="6755CEF1" w14:textId="77777777" w:rsidR="00D25DD3" w:rsidRPr="00270035" w:rsidRDefault="00D25DD3" w:rsidP="000954D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270035">
              <w:rPr>
                <w:rFonts w:ascii="Century Gothic" w:hAnsi="Century Gothic"/>
                <w:sz w:val="24"/>
                <w:szCs w:val="24"/>
              </w:rPr>
              <w:t>“Somos un super equipo”</w:t>
            </w:r>
          </w:p>
        </w:tc>
        <w:tc>
          <w:tcPr>
            <w:tcW w:w="2988" w:type="dxa"/>
          </w:tcPr>
          <w:p w14:paraId="61F0D495" w14:textId="77777777" w:rsidR="00D25DD3" w:rsidRPr="00270035" w:rsidRDefault="00D25DD3" w:rsidP="000954DA">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270035">
              <w:rPr>
                <w:rFonts w:ascii="Century Gothic" w:hAnsi="Century Gothic"/>
                <w:b w:val="0"/>
                <w:bCs w:val="0"/>
                <w:sz w:val="24"/>
                <w:szCs w:val="24"/>
              </w:rPr>
              <w:t>Tiempo</w:t>
            </w:r>
            <w:r w:rsidRPr="00270035">
              <w:rPr>
                <w:rFonts w:ascii="Century Gothic" w:hAnsi="Century Gothic"/>
                <w:sz w:val="24"/>
                <w:szCs w:val="24"/>
              </w:rPr>
              <w:t>: marzo-abril</w:t>
            </w:r>
          </w:p>
        </w:tc>
      </w:tr>
      <w:tr w:rsidR="00D25DD3" w:rsidRPr="00270035" w14:paraId="3362DCA2" w14:textId="77777777" w:rsidTr="000954DA">
        <w:tc>
          <w:tcPr>
            <w:cnfStyle w:val="001000000000" w:firstRow="0" w:lastRow="0" w:firstColumn="1" w:lastColumn="0" w:oddVBand="0" w:evenVBand="0" w:oddHBand="0" w:evenHBand="0" w:firstRowFirstColumn="0" w:firstRowLastColumn="0" w:lastRowFirstColumn="0" w:lastRowLastColumn="0"/>
            <w:tcW w:w="2972" w:type="dxa"/>
          </w:tcPr>
          <w:p w14:paraId="0F8C59E5" w14:textId="77777777" w:rsidR="00D25DD3" w:rsidRPr="00270035" w:rsidRDefault="00D25DD3" w:rsidP="000954DA">
            <w:pPr>
              <w:rPr>
                <w:rFonts w:ascii="Century Gothic" w:hAnsi="Century Gothic"/>
                <w:b w:val="0"/>
                <w:bCs w:val="0"/>
                <w:sz w:val="24"/>
                <w:szCs w:val="24"/>
              </w:rPr>
            </w:pPr>
            <w:r w:rsidRPr="00270035">
              <w:rPr>
                <w:rFonts w:ascii="Century Gothic" w:hAnsi="Century Gothic"/>
                <w:sz w:val="24"/>
                <w:szCs w:val="24"/>
              </w:rPr>
              <w:t xml:space="preserve">Propósito </w:t>
            </w:r>
          </w:p>
        </w:tc>
        <w:tc>
          <w:tcPr>
            <w:tcW w:w="5856" w:type="dxa"/>
            <w:gridSpan w:val="2"/>
          </w:tcPr>
          <w:p w14:paraId="16617219" w14:textId="77777777" w:rsidR="00D25DD3" w:rsidRPr="00270035" w:rsidRDefault="00D25DD3" w:rsidP="000954DA">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270035">
              <w:rPr>
                <w:rFonts w:ascii="Century Gothic" w:hAnsi="Century Gothic"/>
                <w:sz w:val="24"/>
                <w:szCs w:val="24"/>
              </w:rPr>
              <w:t>Promover la convivencia armónica entre madre e</w:t>
            </w:r>
            <w:r w:rsidRPr="00270035">
              <w:rPr>
                <w:rFonts w:ascii="Century Gothic" w:hAnsi="Century Gothic"/>
                <w:b/>
                <w:bCs/>
                <w:sz w:val="24"/>
                <w:szCs w:val="24"/>
              </w:rPr>
              <w:t xml:space="preserve"> </w:t>
            </w:r>
            <w:r w:rsidRPr="00270035">
              <w:rPr>
                <w:rFonts w:ascii="Century Gothic" w:hAnsi="Century Gothic"/>
                <w:sz w:val="24"/>
                <w:szCs w:val="24"/>
              </w:rPr>
              <w:t>hijo mediante el reconocimiento de las emociones negativas para poder transformarlas en positivas y así contribuir al aprendizaje y desarrollo de los niños y niñas.</w:t>
            </w:r>
            <w:r w:rsidRPr="00270035">
              <w:rPr>
                <w:rFonts w:ascii="Century Gothic" w:hAnsi="Century Gothic"/>
                <w:b/>
                <w:bCs/>
                <w:sz w:val="24"/>
                <w:szCs w:val="24"/>
              </w:rPr>
              <w:t xml:space="preserve"> </w:t>
            </w:r>
          </w:p>
        </w:tc>
      </w:tr>
      <w:tr w:rsidR="00D25DD3" w:rsidRPr="00270035" w14:paraId="149492C0" w14:textId="77777777" w:rsidTr="000954DA">
        <w:tc>
          <w:tcPr>
            <w:cnfStyle w:val="001000000000" w:firstRow="0" w:lastRow="0" w:firstColumn="1" w:lastColumn="0" w:oddVBand="0" w:evenVBand="0" w:oddHBand="0" w:evenHBand="0" w:firstRowFirstColumn="0" w:firstRowLastColumn="0" w:lastRowFirstColumn="0" w:lastRowLastColumn="0"/>
            <w:tcW w:w="2972" w:type="dxa"/>
          </w:tcPr>
          <w:p w14:paraId="72B70B7D" w14:textId="77777777" w:rsidR="00D25DD3" w:rsidRPr="00270035" w:rsidRDefault="00D25DD3" w:rsidP="000954DA">
            <w:pPr>
              <w:rPr>
                <w:rFonts w:ascii="Century Gothic" w:hAnsi="Century Gothic"/>
                <w:b w:val="0"/>
                <w:bCs w:val="0"/>
                <w:sz w:val="24"/>
                <w:szCs w:val="24"/>
              </w:rPr>
            </w:pPr>
            <w:r w:rsidRPr="00270035">
              <w:rPr>
                <w:rFonts w:ascii="Century Gothic" w:hAnsi="Century Gothic"/>
                <w:sz w:val="24"/>
                <w:szCs w:val="24"/>
              </w:rPr>
              <w:t>Recursos</w:t>
            </w:r>
          </w:p>
        </w:tc>
        <w:tc>
          <w:tcPr>
            <w:tcW w:w="5856" w:type="dxa"/>
            <w:gridSpan w:val="2"/>
          </w:tcPr>
          <w:p w14:paraId="7340B60A" w14:textId="77777777" w:rsidR="00D25DD3" w:rsidRPr="00270035" w:rsidRDefault="00D25DD3" w:rsidP="000954DA">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270035">
              <w:rPr>
                <w:rFonts w:ascii="Century Gothic" w:hAnsi="Century Gothic"/>
                <w:b/>
                <w:bCs/>
                <w:sz w:val="24"/>
                <w:szCs w:val="24"/>
              </w:rPr>
              <w:t>Actividades</w:t>
            </w:r>
          </w:p>
        </w:tc>
      </w:tr>
      <w:tr w:rsidR="00D25DD3" w:rsidRPr="00270035" w14:paraId="7AF8EA98" w14:textId="77777777" w:rsidTr="000954DA">
        <w:trPr>
          <w:trHeight w:val="829"/>
        </w:trPr>
        <w:tc>
          <w:tcPr>
            <w:cnfStyle w:val="001000000000" w:firstRow="0" w:lastRow="0" w:firstColumn="1" w:lastColumn="0" w:oddVBand="0" w:evenVBand="0" w:oddHBand="0" w:evenHBand="0" w:firstRowFirstColumn="0" w:firstRowLastColumn="0" w:lastRowFirstColumn="0" w:lastRowLastColumn="0"/>
            <w:tcW w:w="2972" w:type="dxa"/>
          </w:tcPr>
          <w:p w14:paraId="22CE7FA2" w14:textId="77777777" w:rsidR="00D25DD3" w:rsidRPr="00270035" w:rsidRDefault="00D25DD3" w:rsidP="000954DA">
            <w:pPr>
              <w:rPr>
                <w:rFonts w:ascii="Century Gothic" w:hAnsi="Century Gothic" w:cs="Times New Roman"/>
                <w:i/>
                <w:iCs/>
                <w:sz w:val="24"/>
                <w:szCs w:val="24"/>
              </w:rPr>
            </w:pPr>
            <w:r w:rsidRPr="00270035">
              <w:rPr>
                <w:rFonts w:ascii="Century Gothic" w:hAnsi="Century Gothic"/>
                <w:sz w:val="24"/>
                <w:szCs w:val="24"/>
              </w:rPr>
              <w:t xml:space="preserve">-El fichero de </w:t>
            </w:r>
            <w:r w:rsidRPr="00270035">
              <w:rPr>
                <w:rFonts w:ascii="Century Gothic" w:hAnsi="Century Gothic" w:cs="Times New Roman"/>
                <w:i/>
                <w:iCs/>
                <w:sz w:val="24"/>
                <w:szCs w:val="24"/>
              </w:rPr>
              <w:t>Herramientas de soporte socioemocional para la educación en contextos de emergencia.</w:t>
            </w:r>
          </w:p>
          <w:p w14:paraId="67031FF3"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-Hoja de máquina (o de libreta)</w:t>
            </w:r>
          </w:p>
          <w:p w14:paraId="7DED8CA8"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-Pluma o lápiz.</w:t>
            </w:r>
          </w:p>
          <w:p w14:paraId="1D3A1201"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-Preguntas para jugar a “¿Qué tan bien nos conocemos?”.</w:t>
            </w:r>
          </w:p>
          <w:p w14:paraId="57D16556"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 xml:space="preserve">-Cuestionario personal para las madres de familia. </w:t>
            </w:r>
          </w:p>
          <w:p w14:paraId="17297E32"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Un espacio agradable, tranquilo y cómodo donde poder realizar la dinámica.</w:t>
            </w:r>
          </w:p>
          <w:p w14:paraId="2DDAF17F" w14:textId="77777777" w:rsidR="00D25DD3" w:rsidRPr="00270035" w:rsidRDefault="00D25DD3" w:rsidP="000954DA">
            <w:pPr>
              <w:rPr>
                <w:rFonts w:ascii="Century Gothic" w:hAnsi="Century Gothic"/>
                <w:sz w:val="24"/>
                <w:szCs w:val="24"/>
              </w:rPr>
            </w:pPr>
            <w:r w:rsidRPr="00270035">
              <w:rPr>
                <w:rFonts w:ascii="Century Gothic" w:hAnsi="Century Gothic"/>
                <w:sz w:val="24"/>
                <w:szCs w:val="24"/>
              </w:rPr>
              <w:t xml:space="preserve">Celular para mantener comunicación con la docente para el trabajo de la dinámica. </w:t>
            </w:r>
          </w:p>
        </w:tc>
        <w:tc>
          <w:tcPr>
            <w:tcW w:w="5856" w:type="dxa"/>
            <w:gridSpan w:val="2"/>
          </w:tcPr>
          <w:p w14:paraId="436F6ADB" w14:textId="77777777" w:rsidR="00D25DD3" w:rsidRPr="00270035" w:rsidRDefault="00D25DD3" w:rsidP="000954D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270035">
              <w:rPr>
                <w:rFonts w:ascii="Century Gothic" w:hAnsi="Century Gothic"/>
                <w:sz w:val="24"/>
                <w:szCs w:val="24"/>
              </w:rPr>
              <w:t xml:space="preserve">Primero se les propondrá que jueguen a “¿Qué tan bien nos conocemos?”, en donde habrá una serie de preguntas que mamá e hijo (a) deberán contestar con lo que saben uno del otro. </w:t>
            </w:r>
          </w:p>
          <w:p w14:paraId="2463259B" w14:textId="77777777" w:rsidR="00D25DD3" w:rsidRPr="00270035" w:rsidRDefault="00D25DD3" w:rsidP="000954D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270035">
              <w:rPr>
                <w:rFonts w:ascii="Century Gothic" w:hAnsi="Century Gothic"/>
                <w:sz w:val="24"/>
                <w:szCs w:val="24"/>
              </w:rPr>
              <w:t xml:space="preserve">Luego se les enviará un cuestionario que responderán para sí mismas (solamente reflexionarán sobre las respuestas). Con la intención de que ellas identifiquen las emociones que experimentan en el trabajo con sus niños, la forma en cómo reaccionan durante la situación de estrés. </w:t>
            </w:r>
          </w:p>
          <w:p w14:paraId="0AA6812E" w14:textId="77777777" w:rsidR="00D25DD3" w:rsidRPr="00270035" w:rsidRDefault="00D25DD3" w:rsidP="000954D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270035">
              <w:rPr>
                <w:rFonts w:ascii="Century Gothic" w:hAnsi="Century Gothic"/>
                <w:sz w:val="24"/>
                <w:szCs w:val="24"/>
              </w:rPr>
              <w:t>Por último, identificar por medio de un escrito la razón que causa sus emociones principalmente las negativas, para que puedan transformarlas en positivas y puedan apoyar de mejor manera el aprendizaje de sus hijos.</w:t>
            </w:r>
          </w:p>
          <w:p w14:paraId="30B67B55" w14:textId="77777777" w:rsidR="00D25DD3" w:rsidRPr="00270035" w:rsidRDefault="00D25DD3" w:rsidP="000954DA">
            <w:pPr>
              <w:pStyle w:val="Default"/>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70035">
              <w:rPr>
                <w:rFonts w:ascii="Century Gothic" w:hAnsi="Century Gothic"/>
              </w:rPr>
              <w:t xml:space="preserve">Se les brindará además algunos documentos a los que pueden recurrir para buscar actividades o estrategias que ayuden en trabajo con las emociones de toda la familia como </w:t>
            </w:r>
            <w:r w:rsidRPr="00270035">
              <w:rPr>
                <w:rFonts w:ascii="Century Gothic" w:hAnsi="Century Gothic"/>
                <w:b/>
                <w:bCs/>
              </w:rPr>
              <w:t>(</w:t>
            </w:r>
            <w:r w:rsidRPr="00270035">
              <w:rPr>
                <w:rFonts w:ascii="Century Gothic" w:hAnsi="Century Gothic" w:cs="Times New Roman"/>
                <w:b/>
                <w:bCs/>
                <w:i/>
                <w:iCs/>
              </w:rPr>
              <w:t>Herramientas de soporte socioemocional para la educación en contextos de emergencia.)</w:t>
            </w:r>
          </w:p>
          <w:p w14:paraId="63A63981" w14:textId="77777777" w:rsidR="00D25DD3" w:rsidRPr="00270035" w:rsidRDefault="00D25DD3" w:rsidP="000954DA">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r>
    </w:tbl>
    <w:p w14:paraId="403487A3" w14:textId="77777777" w:rsidR="004D6DE4" w:rsidRDefault="004D6DE4"/>
    <w:sectPr w:rsidR="004D6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3"/>
    <w:rsid w:val="004D6DE4"/>
    <w:rsid w:val="00D25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7BED"/>
  <w15:chartTrackingRefBased/>
  <w15:docId w15:val="{98F5A50F-67F9-41E0-AD54-EC5532AF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5DD3"/>
    <w:pPr>
      <w:autoSpaceDE w:val="0"/>
      <w:autoSpaceDN w:val="0"/>
      <w:adjustRightInd w:val="0"/>
      <w:spacing w:after="0" w:line="240" w:lineRule="auto"/>
    </w:pPr>
    <w:rPr>
      <w:rFonts w:ascii="Montserrat" w:hAnsi="Montserrat" w:cs="Montserrat"/>
      <w:color w:val="000000"/>
      <w:sz w:val="24"/>
      <w:szCs w:val="24"/>
    </w:rPr>
  </w:style>
  <w:style w:type="table" w:styleId="Tablaconcuadrcula1clara-nfasis6">
    <w:name w:val="Grid Table 1 Light Accent 6"/>
    <w:basedOn w:val="Tablanormal"/>
    <w:uiPriority w:val="46"/>
    <w:rsid w:val="00D25D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Esmirna Balderas</dc:creator>
  <cp:keywords/>
  <dc:description/>
  <cp:lastModifiedBy>Esmirna Balderas</cp:lastModifiedBy>
  <cp:revision>1</cp:revision>
  <dcterms:created xsi:type="dcterms:W3CDTF">2021-04-16T00:21:00Z</dcterms:created>
  <dcterms:modified xsi:type="dcterms:W3CDTF">2021-04-16T00:21:00Z</dcterms:modified>
</cp:coreProperties>
</file>